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 xml:space="preserve"> </w:t>
      </w:r>
      <w:r w:rsidR="004B5AEE">
        <w:rPr>
          <w:rFonts w:eastAsia="Times New Roman" w:cs="Times New Roman"/>
          <w:b/>
          <w:bCs/>
          <w:szCs w:val="28"/>
          <w:lang w:val="uk-UA" w:eastAsia="ru-RU"/>
        </w:rPr>
        <w:t>СЬОМА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4B5AEE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Про </w:t>
      </w:r>
      <w:proofErr w:type="spellStart"/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безоплатну</w:t>
      </w:r>
      <w:proofErr w:type="spellEnd"/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272B31" w:rsidP="00272B31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proofErr w:type="spellStart"/>
      <w:r>
        <w:rPr>
          <w:rFonts w:eastAsia="Times New Roman" w:cs="Times New Roman"/>
          <w:szCs w:val="28"/>
          <w:lang w:val="uk-UA" w:eastAsia="ru-RU"/>
        </w:rPr>
        <w:t>Сухоручкіної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Л</w:t>
      </w:r>
      <w:r w:rsidRPr="001B617B">
        <w:rPr>
          <w:rFonts w:eastAsia="Times New Roman" w:cs="Times New Roman"/>
          <w:szCs w:val="28"/>
          <w:lang w:val="uk-UA" w:eastAsia="ru-RU"/>
        </w:rPr>
        <w:t xml:space="preserve">.О., враховуючи звернення </w:t>
      </w:r>
      <w:r>
        <w:rPr>
          <w:rFonts w:eastAsia="Times New Roman" w:cs="Times New Roman"/>
          <w:szCs w:val="28"/>
          <w:lang w:val="uk-UA" w:eastAsia="ru-RU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про безоплатну передачу майна комунальної власності Глухівської міської ради, </w:t>
      </w:r>
      <w:r>
        <w:rPr>
          <w:rFonts w:eastAsia="Times New Roman" w:cs="Times New Roman"/>
          <w:szCs w:val="28"/>
          <w:lang w:val="uk-UA" w:eastAsia="ru-RU"/>
        </w:rPr>
        <w:t>відповідно до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Програм</w:t>
      </w:r>
      <w:r>
        <w:rPr>
          <w:rFonts w:eastAsia="Times New Roman" w:cs="Times New Roman"/>
          <w:szCs w:val="28"/>
          <w:lang w:val="uk-UA" w:eastAsia="zh-CN"/>
        </w:rPr>
        <w:t>и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забезпечення заходів мобілізації та оборонної роботи на території Глухівської міської ради на 2024-2025 роки</w:t>
      </w:r>
      <w:r>
        <w:rPr>
          <w:rFonts w:eastAsia="Times New Roman" w:cs="Times New Roman"/>
          <w:szCs w:val="28"/>
          <w:lang w:val="uk-UA" w:eastAsia="zh-CN"/>
        </w:rPr>
        <w:t xml:space="preserve">, затвердженої рішенням </w:t>
      </w:r>
      <w:r w:rsidRPr="00FE48E5">
        <w:rPr>
          <w:rFonts w:eastAsia="Times New Roman" w:cs="Times New Roman"/>
          <w:szCs w:val="28"/>
          <w:lang w:val="uk-UA" w:eastAsia="zh-CN"/>
        </w:rPr>
        <w:t>Глухівської міської ради</w:t>
      </w: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від 20.10.2023 №719 (зі змінами),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272B31" w:rsidRPr="007B494F" w:rsidRDefault="00272B31" w:rsidP="005155E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Безоплатно передати </w:t>
      </w:r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сітку </w:t>
      </w:r>
      <w:proofErr w:type="spellStart"/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>рабицю</w:t>
      </w:r>
      <w:proofErr w:type="spellEnd"/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50*50*2000 оцинковану у кількості 200 </w:t>
      </w:r>
      <w:proofErr w:type="spellStart"/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>кв.м</w:t>
      </w:r>
      <w:proofErr w:type="spellEnd"/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на суму 6600,00 грн та в’язальн</w:t>
      </w:r>
      <w:r w:rsidR="007317D9">
        <w:rPr>
          <w:rFonts w:cs="Times New Roman"/>
          <w:color w:val="000000"/>
          <w:szCs w:val="28"/>
          <w:shd w:val="clear" w:color="auto" w:fill="FFFFFF"/>
          <w:lang w:val="uk-UA"/>
        </w:rPr>
        <w:t>ий</w:t>
      </w:r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д</w:t>
      </w:r>
      <w:r w:rsidR="007317D9">
        <w:rPr>
          <w:rFonts w:cs="Times New Roman"/>
          <w:color w:val="000000"/>
          <w:szCs w:val="28"/>
          <w:shd w:val="clear" w:color="auto" w:fill="FFFFFF"/>
          <w:lang w:val="uk-UA"/>
        </w:rPr>
        <w:t>рі</w:t>
      </w:r>
      <w:r w:rsidR="005155E6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т 1,2 мм у кількості 30 кг на суму 1500,00 грн </w:t>
      </w:r>
      <w:r w:rsidRPr="005155E6">
        <w:rPr>
          <w:rFonts w:eastAsia="Times New Roman" w:cs="Times New Roman"/>
          <w:szCs w:val="28"/>
          <w:lang w:val="uk-UA" w:eastAsia="zh-CN"/>
        </w:rPr>
        <w:t>з балансу виконавчого комітету Глухівської міської ради на баланс військової частини А7</w:t>
      </w:r>
      <w:r w:rsidR="005155E6">
        <w:rPr>
          <w:rFonts w:eastAsia="Times New Roman" w:cs="Times New Roman"/>
          <w:szCs w:val="28"/>
          <w:lang w:val="uk-UA" w:eastAsia="zh-CN"/>
        </w:rPr>
        <w:t>08</w:t>
      </w:r>
      <w:r w:rsidRPr="005155E6">
        <w:rPr>
          <w:rFonts w:eastAsia="Times New Roman" w:cs="Times New Roman"/>
          <w:szCs w:val="28"/>
          <w:lang w:val="uk-UA" w:eastAsia="zh-CN"/>
        </w:rPr>
        <w:t>4.</w:t>
      </w:r>
    </w:p>
    <w:p w:rsidR="007B494F" w:rsidRPr="005155E6" w:rsidRDefault="007B494F" w:rsidP="007B494F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5155E6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 w:rsidRPr="007B494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матеріальні цінності, що зазначені в додатку до цього рішення з </w:t>
      </w:r>
      <w:r w:rsidRPr="005155E6">
        <w:rPr>
          <w:rFonts w:eastAsia="Times New Roman" w:cs="Times New Roman"/>
          <w:szCs w:val="28"/>
          <w:lang w:val="uk-UA" w:eastAsia="zh-CN"/>
        </w:rPr>
        <w:t>балансу виконавчого комітету Глухівської міської ради на баланс військової частини А</w:t>
      </w:r>
      <w:r w:rsidRPr="007B494F">
        <w:rPr>
          <w:rFonts w:eastAsia="Times New Roman" w:cs="Times New Roman"/>
          <w:szCs w:val="28"/>
          <w:lang w:val="uk-UA" w:eastAsia="zh-CN"/>
        </w:rPr>
        <w:t>4590</w:t>
      </w:r>
      <w:r>
        <w:rPr>
          <w:rFonts w:eastAsia="Times New Roman" w:cs="Times New Roman"/>
          <w:szCs w:val="28"/>
          <w:lang w:val="uk-UA" w:eastAsia="zh-CN"/>
        </w:rPr>
        <w:t>.</w:t>
      </w:r>
    </w:p>
    <w:p w:rsidR="00272B31" w:rsidRPr="00756AB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lang w:val="uk-UA"/>
        </w:rPr>
        <w:t>Виконавчому комітету Глухівської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міський голова                       Вайло Н.О.</w:t>
      </w:r>
      <w:r w:rsidRPr="001B617B">
        <w:rPr>
          <w:rFonts w:eastAsia="Times New Roman" w:cs="Times New Roman"/>
          <w:szCs w:val="28"/>
          <w:lang w:val="uk-UA" w:eastAsia="ru-RU"/>
        </w:rPr>
        <w:t>)</w:t>
      </w:r>
      <w:r w:rsidR="007B494F">
        <w:rPr>
          <w:rFonts w:eastAsia="Times New Roman" w:cs="Times New Roman"/>
          <w:szCs w:val="28"/>
          <w:lang w:val="uk-UA" w:eastAsia="ru-RU"/>
        </w:rPr>
        <w:t>,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color w:val="000000"/>
          <w:szCs w:val="28"/>
          <w:lang w:val="uk-UA"/>
        </w:rPr>
        <w:t>військовій частині А</w:t>
      </w:r>
      <w:r w:rsidR="005155E6" w:rsidRPr="005155E6">
        <w:rPr>
          <w:rFonts w:eastAsia="Times New Roman" w:cs="Times New Roman"/>
          <w:szCs w:val="28"/>
          <w:lang w:val="uk-UA" w:eastAsia="zh-CN"/>
        </w:rPr>
        <w:t>7</w:t>
      </w:r>
      <w:r w:rsidR="005155E6">
        <w:rPr>
          <w:rFonts w:eastAsia="Times New Roman" w:cs="Times New Roman"/>
          <w:szCs w:val="28"/>
          <w:lang w:val="uk-UA" w:eastAsia="zh-CN"/>
        </w:rPr>
        <w:t>08</w:t>
      </w:r>
      <w:r w:rsidR="005155E6" w:rsidRPr="005155E6">
        <w:rPr>
          <w:rFonts w:eastAsia="Times New Roman" w:cs="Times New Roman"/>
          <w:szCs w:val="28"/>
          <w:lang w:val="uk-UA" w:eastAsia="zh-CN"/>
        </w:rPr>
        <w:t>4</w:t>
      </w:r>
      <w:r>
        <w:rPr>
          <w:color w:val="000000"/>
          <w:szCs w:val="28"/>
          <w:lang w:val="uk-UA"/>
        </w:rPr>
        <w:t xml:space="preserve"> (командир – </w:t>
      </w:r>
      <w:r w:rsidR="005155E6">
        <w:rPr>
          <w:color w:val="000000"/>
          <w:szCs w:val="28"/>
          <w:lang w:val="uk-UA"/>
        </w:rPr>
        <w:t xml:space="preserve">Олександр </w:t>
      </w:r>
      <w:proofErr w:type="spellStart"/>
      <w:r w:rsidR="005155E6">
        <w:rPr>
          <w:color w:val="000000"/>
          <w:szCs w:val="28"/>
          <w:lang w:val="uk-UA"/>
        </w:rPr>
        <w:t>Чаюк</w:t>
      </w:r>
      <w:proofErr w:type="spellEnd"/>
      <w:r>
        <w:rPr>
          <w:color w:val="000000"/>
          <w:szCs w:val="28"/>
          <w:lang w:val="uk-UA"/>
        </w:rPr>
        <w:t>)</w:t>
      </w:r>
      <w:r w:rsidRPr="00E558A9">
        <w:rPr>
          <w:szCs w:val="28"/>
          <w:lang w:val="uk-UA"/>
        </w:rPr>
        <w:t xml:space="preserve"> </w:t>
      </w:r>
      <w:r w:rsidR="007B494F">
        <w:rPr>
          <w:szCs w:val="28"/>
          <w:lang w:val="uk-UA"/>
        </w:rPr>
        <w:t xml:space="preserve">та </w:t>
      </w:r>
      <w:r w:rsidR="007B494F">
        <w:rPr>
          <w:color w:val="000000"/>
          <w:szCs w:val="28"/>
          <w:lang w:val="uk-UA"/>
        </w:rPr>
        <w:t>військовій частині А</w:t>
      </w:r>
      <w:r w:rsidR="007B494F" w:rsidRPr="007B494F">
        <w:rPr>
          <w:rFonts w:eastAsia="Times New Roman" w:cs="Times New Roman"/>
          <w:szCs w:val="28"/>
          <w:lang w:val="uk-UA" w:eastAsia="zh-CN"/>
        </w:rPr>
        <w:t>4590</w:t>
      </w:r>
      <w:r w:rsidR="007B494F">
        <w:rPr>
          <w:color w:val="000000"/>
          <w:szCs w:val="28"/>
          <w:lang w:val="uk-UA"/>
        </w:rPr>
        <w:t xml:space="preserve"> (командир – </w:t>
      </w:r>
      <w:r w:rsidR="007B494F" w:rsidRPr="007B494F">
        <w:rPr>
          <w:rFonts w:eastAsia="Times New Roman" w:cs="Times New Roman"/>
          <w:szCs w:val="28"/>
          <w:lang w:val="uk-UA" w:eastAsia="zh-CN"/>
        </w:rPr>
        <w:t xml:space="preserve">Михайло </w:t>
      </w:r>
      <w:proofErr w:type="spellStart"/>
      <w:r w:rsidR="007B494F" w:rsidRPr="007B494F">
        <w:rPr>
          <w:rFonts w:eastAsia="Times New Roman" w:cs="Times New Roman"/>
          <w:szCs w:val="28"/>
          <w:lang w:val="uk-UA" w:eastAsia="zh-CN"/>
        </w:rPr>
        <w:t>Семененк</w:t>
      </w:r>
      <w:r w:rsidR="007439D1">
        <w:rPr>
          <w:rFonts w:eastAsia="Times New Roman" w:cs="Times New Roman"/>
          <w:szCs w:val="28"/>
          <w:lang w:val="uk-UA" w:eastAsia="zh-CN"/>
        </w:rPr>
        <w:t>о</w:t>
      </w:r>
      <w:proofErr w:type="spellEnd"/>
      <w:r w:rsidR="007439D1">
        <w:rPr>
          <w:rFonts w:eastAsia="Times New Roman" w:cs="Times New Roman"/>
          <w:szCs w:val="28"/>
          <w:lang w:val="uk-UA" w:eastAsia="zh-CN"/>
        </w:rPr>
        <w:t>)</w:t>
      </w:r>
      <w:r w:rsidR="007B494F" w:rsidRPr="00E558A9">
        <w:rPr>
          <w:rFonts w:eastAsia="Times New Roman" w:cs="Times New Roman"/>
          <w:szCs w:val="28"/>
          <w:lang w:val="uk-UA" w:eastAsia="ru-RU"/>
        </w:rPr>
        <w:t xml:space="preserve"> </w:t>
      </w:r>
      <w:r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керуючого справами виконавчого комітету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Терещенко І.І</w:t>
      </w:r>
      <w:r w:rsidRPr="001B617B">
        <w:rPr>
          <w:rFonts w:eastAsia="Times New Roman" w:cs="Times New Roman"/>
          <w:szCs w:val="28"/>
          <w:lang w:val="uk-UA" w:eastAsia="ru-RU"/>
        </w:rPr>
        <w:t>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439D1" w:rsidRDefault="007439D1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____________№________</w:t>
      </w:r>
    </w:p>
    <w:p w:rsidR="007439D1" w:rsidRPr="007439D1" w:rsidRDefault="007439D1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439D1" w:rsidRDefault="007439D1" w:rsidP="007439D1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Перелік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матеріальних цінностей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>, як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і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підлягають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передачі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з балансу 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виконавчого комітету Глухівської міської ради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на баланс 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>військової частини А4590</w:t>
      </w:r>
    </w:p>
    <w:p w:rsidR="007317D9" w:rsidRPr="007439D1" w:rsidRDefault="007317D9" w:rsidP="007439D1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tbl>
      <w:tblPr>
        <w:tblW w:w="9594" w:type="dxa"/>
        <w:tblLook w:val="04A0" w:firstRow="1" w:lastRow="0" w:firstColumn="1" w:lastColumn="0" w:noHBand="0" w:noVBand="1"/>
      </w:tblPr>
      <w:tblGrid>
        <w:gridCol w:w="4673"/>
        <w:gridCol w:w="709"/>
        <w:gridCol w:w="1417"/>
        <w:gridCol w:w="1276"/>
        <w:gridCol w:w="1519"/>
      </w:tblGrid>
      <w:tr w:rsidR="007439D1" w:rsidRPr="007439D1" w:rsidTr="007317D9">
        <w:trPr>
          <w:trHeight w:val="276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895190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895190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Од.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вим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895190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895190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895190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Ціна</w:t>
            </w:r>
          </w:p>
        </w:tc>
      </w:tr>
      <w:tr w:rsidR="007439D1" w:rsidRPr="007439D1" w:rsidTr="007317D9">
        <w:trPr>
          <w:trHeight w:val="435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FPV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окуляри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SKYZONE SKY04X PRO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27 961,00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9D390D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27 961,00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Балансувальний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верстат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UNITE U-500D з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ручним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введенням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(вал 40 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35 196,00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35 196,00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БпЛА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КанЙот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версія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163 592,40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163 592,40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Вентиль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безкамерний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TR 414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Perfect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9D390D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9,012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Вентиль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безкамерний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TR 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6,72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Вентиль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камерний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ВА TR442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584,64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58,464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ind w:firstLineChars="13" w:firstLine="31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Вентиль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камерний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ВА TR444 140/5.51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661,92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66,192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Викрутка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вентильна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VT02D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17,81</w:t>
            </w:r>
          </w:p>
        </w:tc>
      </w:tr>
      <w:tr w:rsidR="007439D1" w:rsidRPr="007439D1" w:rsidTr="007317D9">
        <w:trPr>
          <w:trHeight w:val="43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Виносна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антена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AVENGER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Booster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2.4G/5.2/5.8G,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тридіапазонний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підсилювач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сигналу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квадрокоптерів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78 000,00</w:t>
            </w:r>
          </w:p>
        </w:tc>
      </w:tr>
      <w:tr w:rsidR="007439D1" w:rsidRPr="007439D1" w:rsidTr="007317D9">
        <w:trPr>
          <w:trHeight w:val="43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Вологовідокремлювач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/ регулятор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тиску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(з манометром) +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Маслорозпилювач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FRL60G   1/2" x 1/2"¶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4 900,00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Вулканізатор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ЕВУ-3МП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12 500,00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Домкрат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гідравлічний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підкатний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т / 130-465 мм (2 поршня)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6 300,00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Золотник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жовтий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TRC1-HT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1,68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Клей для камер         175 гр.  банка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286,74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286,74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Кліщі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балансувальні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664,02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664,02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Ключ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вентиля VT04-P (пластик)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Baolong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90,72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Ключ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хрестоподібний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17/19/21 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642,60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Коаксіальний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кабель RG-20 м, N-TYPE-QMA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7 999,00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Ковпачки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чорні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TRVC8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0,336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Наземна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станція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60 000,00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Повітряний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ретранслятор 5.8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47 000,00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Крейда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жовта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водостійка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SISA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68,86667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Латка для ремонту камер № 3  d 54мм (30)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267,84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8,928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Латка для ремонту камер № 4  d 75мм (30)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691,56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23,052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Латка для ремонту камер № 5  d 94мм (10)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9D390D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34,296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Мінікомбі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PREMIUM  A4,5 (40) NEW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484,32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48,432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Мінікомбі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PREMIUM  А6 (40) NEW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253,98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50,796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Мінікомбі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PREMIUM  В 8 (20)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403,62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80,724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Мінікомбі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PREMIUM  В10 (20)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653,64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130,728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Набір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швидкого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ремонту шин (шило + фреза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ручна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шнур)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Xtraseal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168,00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Паста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монтажна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"POWERMOUNT"  ТИП ТОП 5 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380,00</w:t>
            </w:r>
          </w:p>
        </w:tc>
      </w:tr>
      <w:tr w:rsidR="007317D9" w:rsidRPr="007439D1" w:rsidTr="007317D9">
        <w:trPr>
          <w:trHeight w:val="6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D9" w:rsidRPr="007439D1" w:rsidRDefault="007317D9" w:rsidP="007317D9">
            <w:pPr>
              <w:spacing w:after="0"/>
              <w:ind w:firstLineChars="9" w:firstLine="22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Найменування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Од.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вим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Ціна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Паста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монтажна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TOAL 4 кг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червона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Україна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850,00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Пензлик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клею,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39,07250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Према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Orange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TL-125  (125x115) (10шт.)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109,38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Према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Orange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TL-140  (192x103) (15шт.)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485,64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161,88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ПН-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ВР-3 (100мм) 2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шарів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46,20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ПН-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ВР-4 (130мм) 4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шарів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58,80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ПН-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ВР-5 (165мм) 4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шарів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88,20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Пневмошероховальна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машинка   2500 об/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хв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2 604,00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Подовжувач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вентильний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95мм (пластик) ВLЕ78ТР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8,735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Подовжувач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вентильний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115мм (пластик) ВLЕ98ТР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8,735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Подовжувач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вентильний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(пластик)  180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9,74375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Подовжувач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підкачки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спарених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коліс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AC 429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ялинка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/з ручкою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138,10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Подушка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вирівнювання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тиску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ЛА 110х110 (5173853)¶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917,83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917,83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Подушка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вирівнювання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тиску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ЛА 180х130 (5172438)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1 237,96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1 237,96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Причіп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А8-5021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Оптима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СК2 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180 300,00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РАД-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135 TL PREMIUM 148 х 203 мм 4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шари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2 293,79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573,44750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РАД-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ECO PLUS 10  55x75мм 1 шар (20)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27,30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РАД-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пластир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ECO PLUS 20  80x125мм 2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шари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(10)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9D390D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72,096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Рідина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знежирення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500мл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аерозоль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Према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223,13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Ролик для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закатування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BLS383 ширина 1 / 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87,02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Сира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гума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5кг 3x500x2600мм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4 172,40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Скребок (TRT75S)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65,18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Спец.цемент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BL   650 гр./банка CFC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750,44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750,44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Спец.цемент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SC-BL 200 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311,28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311,28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Термопрес-MTR-2 600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1 067,59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1 067,59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Термостійкий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целофан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160 х 80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1,536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10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3,564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15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4,668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20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283,20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5,664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25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6,80400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30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8,40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35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9,204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40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10,20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45 гр.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336,24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11,208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укр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 STAND 50 гр.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246,72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12,336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Тягарець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клеючий.сталь</w:t>
            </w:r>
            <w:proofErr w:type="spellEnd"/>
            <w:proofErr w:type="gram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низкий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Прямий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)  ОЦИНКОВАННИЙ 60 гр.(5/10гр х 4)</w:t>
            </w:r>
          </w:p>
          <w:p w:rsidR="007317D9" w:rsidRPr="007439D1" w:rsidRDefault="007317D9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355,20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7,104</w:t>
            </w:r>
          </w:p>
        </w:tc>
      </w:tr>
      <w:tr w:rsidR="007317D9" w:rsidRPr="007439D1" w:rsidTr="007317D9">
        <w:trPr>
          <w:trHeight w:val="6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D9" w:rsidRPr="007439D1" w:rsidRDefault="007317D9" w:rsidP="007317D9">
            <w:pPr>
              <w:spacing w:after="0"/>
              <w:ind w:firstLineChars="9" w:firstLine="22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Найменування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Од.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вим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17D9" w:rsidRPr="007439D1" w:rsidRDefault="007317D9" w:rsidP="007317D9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Ціна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Ущільнювач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всередині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сторонній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відновник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безкамерного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шару)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Security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coat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500 мл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266,70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266,70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215/75R17.5 135/133J (16PR) VI-628 M+S, 3PMSF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4 650,00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215/75R17.5 135/133J (16PR) VI-660 M+S (Ovation)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4 650,00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37x12, 50R16,5LT DS766 TL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Doublestar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9 850,00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Ecovision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VI-286AT 265/70 R17 115T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4 400,00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Roadstone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Classe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Premiere CP321 195/70 R15C 104/102S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2 950,00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Starmaxx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Incurro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ST430 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/S 265/65 R17 112H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4 200,00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Шиномонтажний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верстат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Л/А U-201 220V (HPMM)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50 400,00</w:t>
            </w:r>
          </w:p>
        </w:tc>
      </w:tr>
      <w:tr w:rsidR="007439D1" w:rsidRPr="007439D1" w:rsidTr="007317D9">
        <w:trPr>
          <w:trHeight w:val="22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Щітка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ручна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сталева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дротова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21,50</w:t>
            </w:r>
          </w:p>
        </w:tc>
      </w:tr>
      <w:tr w:rsidR="007439D1" w:rsidRPr="007439D1" w:rsidTr="007317D9">
        <w:trPr>
          <w:trHeight w:val="41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(три)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акумулятори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зарядний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пристрій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DJI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Mavic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Enterprise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Series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Battery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Kit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48400,00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9D390D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24200,00</w:t>
            </w:r>
          </w:p>
        </w:tc>
      </w:tr>
      <w:tr w:rsidR="007439D1" w:rsidRPr="007439D1" w:rsidTr="007317D9">
        <w:trPr>
          <w:trHeight w:val="41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7439D1" w:rsidRDefault="007439D1" w:rsidP="009D390D">
            <w:pPr>
              <w:spacing w:after="0"/>
              <w:ind w:firstLineChars="9" w:firstLine="22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Зарядна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станція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ECOFLOW DELTA PRO 3600 Вт, 3600 Вт/год (</w:t>
            </w:r>
            <w:proofErr w:type="spellStart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електростанція</w:t>
            </w:r>
            <w:proofErr w:type="spellEnd"/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дому, UPS, ДБЖ) EU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9D1" w:rsidRPr="009D390D" w:rsidRDefault="007439D1" w:rsidP="007439D1">
            <w:pPr>
              <w:spacing w:after="0"/>
              <w:outlineLvl w:val="0"/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390D">
              <w:rPr>
                <w:rFonts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9D390D" w:rsidRDefault="007439D1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390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63990,00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895190">
            <w:pPr>
              <w:spacing w:after="0"/>
              <w:jc w:val="right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63990,00</w:t>
            </w:r>
          </w:p>
        </w:tc>
      </w:tr>
      <w:tr w:rsidR="007439D1" w:rsidRPr="007439D1" w:rsidTr="007317D9">
        <w:trPr>
          <w:trHeight w:val="255"/>
        </w:trPr>
        <w:tc>
          <w:tcPr>
            <w:tcW w:w="5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317D9" w:rsidP="007317D9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1 073</w:t>
            </w:r>
            <w:r w:rsidR="007439D1"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331,84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895190" w:rsidP="007439D1">
            <w:pPr>
              <w:spacing w:after="0"/>
              <w:jc w:val="righ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867,05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9D1" w:rsidRPr="007439D1" w:rsidRDefault="007439D1" w:rsidP="007439D1">
            <w:pPr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39D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317D9" w:rsidRDefault="007317D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77A0B" w:rsidRDefault="00877A0B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845150" w:rsidRDefault="00845150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  <w:bookmarkStart w:id="0" w:name="_GoBack"/>
      <w:bookmarkEnd w:id="0"/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6053C9" w:rsidRPr="00272B31" w:rsidRDefault="006053C9" w:rsidP="00272B31">
      <w:pPr>
        <w:keepNext/>
        <w:spacing w:after="0"/>
        <w:outlineLvl w:val="0"/>
        <w:rPr>
          <w:rFonts w:eastAsia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792921" w:rsidRPr="00792921" w:rsidRDefault="00792921" w:rsidP="00792921">
      <w:pPr>
        <w:tabs>
          <w:tab w:val="left" w:pos="993"/>
        </w:tabs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sectPr w:rsidR="00792921" w:rsidRPr="00792921" w:rsidSect="007439D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034F8"/>
    <w:rsid w:val="000218FB"/>
    <w:rsid w:val="00043342"/>
    <w:rsid w:val="00066B91"/>
    <w:rsid w:val="000D7022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C7183"/>
    <w:rsid w:val="002D182D"/>
    <w:rsid w:val="00384327"/>
    <w:rsid w:val="003B0A16"/>
    <w:rsid w:val="0040379C"/>
    <w:rsid w:val="00407BC4"/>
    <w:rsid w:val="00410BDD"/>
    <w:rsid w:val="004171CE"/>
    <w:rsid w:val="0042355A"/>
    <w:rsid w:val="004B5AEE"/>
    <w:rsid w:val="004D2DAB"/>
    <w:rsid w:val="005155E6"/>
    <w:rsid w:val="0052628D"/>
    <w:rsid w:val="00537206"/>
    <w:rsid w:val="00560675"/>
    <w:rsid w:val="00570227"/>
    <w:rsid w:val="00583AFD"/>
    <w:rsid w:val="005A0AB1"/>
    <w:rsid w:val="006053C9"/>
    <w:rsid w:val="006572D3"/>
    <w:rsid w:val="00685056"/>
    <w:rsid w:val="006C0B77"/>
    <w:rsid w:val="006C2544"/>
    <w:rsid w:val="006E172B"/>
    <w:rsid w:val="00713AC5"/>
    <w:rsid w:val="0071491F"/>
    <w:rsid w:val="007317D9"/>
    <w:rsid w:val="007439D1"/>
    <w:rsid w:val="00756AB7"/>
    <w:rsid w:val="00792921"/>
    <w:rsid w:val="00797F2B"/>
    <w:rsid w:val="007B494F"/>
    <w:rsid w:val="007C378C"/>
    <w:rsid w:val="007D2BE3"/>
    <w:rsid w:val="008242FF"/>
    <w:rsid w:val="00845150"/>
    <w:rsid w:val="0085647A"/>
    <w:rsid w:val="00870751"/>
    <w:rsid w:val="00877A0B"/>
    <w:rsid w:val="00895190"/>
    <w:rsid w:val="008A2036"/>
    <w:rsid w:val="008E00F9"/>
    <w:rsid w:val="00922C48"/>
    <w:rsid w:val="0098298A"/>
    <w:rsid w:val="009B05DC"/>
    <w:rsid w:val="009D390D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01086"/>
    <w:rsid w:val="00C84911"/>
    <w:rsid w:val="00D8721D"/>
    <w:rsid w:val="00DA6D86"/>
    <w:rsid w:val="00DF7EF7"/>
    <w:rsid w:val="00E05FE2"/>
    <w:rsid w:val="00E558A9"/>
    <w:rsid w:val="00E619DB"/>
    <w:rsid w:val="00E65E12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1127</Words>
  <Characters>6428</Characters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2025-04-23T11:55:00Z</cp:lastPrinted>
  <dcterms:created xsi:type="dcterms:W3CDTF">2025-04-24T06:41:00Z</dcterms:created>
  <dcterms:modified xsi:type="dcterms:W3CDTF">2025-04-24T06:44:00Z</dcterms:modified>
</cp:coreProperties>
</file>